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关于</w:t>
      </w:r>
      <w:r>
        <w:rPr>
          <w:rFonts w:hint="eastAsia" w:ascii="黑体" w:eastAsia="黑体"/>
          <w:b w:val="0"/>
          <w:bCs w:val="0"/>
          <w:sz w:val="30"/>
          <w:szCs w:val="30"/>
          <w:lang w:eastAsia="zh-CN"/>
        </w:rPr>
        <w:t>做好通识教育选修课程安排的</w:t>
      </w:r>
      <w:r>
        <w:rPr>
          <w:rFonts w:hint="eastAsia" w:ascii="黑体" w:eastAsia="黑体"/>
          <w:sz w:val="30"/>
          <w:szCs w:val="30"/>
        </w:rPr>
        <w:t>通知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校属各单位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为进一步推进素质教育，完善学生知识结构，提高学生综合素质，促进学生个性发展，现对2019-2020学年第一学期通识教育选修课有关工作通知如下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pacing w:line="360" w:lineRule="auto"/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一、工作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安排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eastAsia="zh-CN"/>
        </w:rPr>
        <w:t>、各学院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组织落实本单位相关课程开设需求，</w:t>
      </w:r>
      <w:r>
        <w:rPr>
          <w:rFonts w:hint="eastAsia" w:ascii="仿宋_GB2312" w:eastAsia="仿宋_GB2312"/>
          <w:sz w:val="28"/>
          <w:szCs w:val="28"/>
          <w:lang w:eastAsia="zh-CN"/>
        </w:rPr>
        <w:t>按每10名教师开设至少一门公选课组织申报（其中，1学分课程不少于1/2）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，鼓励广大教师“多开课、开好课”，提倡运用先进教学理念和现代化教学手段，提升课程教学效果。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2、各学院组织教师学习《湖北工业大学通识教育选修课管理办法》，并按照其要求规范课程设置，鼓励教师多开设绿色工业类及创新创业类课程。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3、申报通识教育选修课的教师需于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第17周周一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之前提交</w:t>
      </w:r>
      <w:r>
        <w:rPr>
          <w:rFonts w:hint="eastAsia" w:ascii="仿宋_GB2312" w:eastAsia="仿宋_GB2312"/>
          <w:sz w:val="28"/>
          <w:szCs w:val="28"/>
          <w:lang w:eastAsia="zh-CN"/>
        </w:rPr>
        <w:t>《</w:t>
      </w:r>
      <w:r>
        <w:rPr>
          <w:rFonts w:hint="eastAsia" w:ascii="仿宋_GB2312" w:eastAsia="仿宋_GB2312"/>
          <w:sz w:val="28"/>
          <w:szCs w:val="28"/>
        </w:rPr>
        <w:t>通识教育选修课程推荐表</w:t>
      </w:r>
      <w:r>
        <w:rPr>
          <w:rFonts w:hint="eastAsia" w:ascii="仿宋_GB2312" w:eastAsia="仿宋_GB2312"/>
          <w:sz w:val="28"/>
          <w:szCs w:val="28"/>
          <w:lang w:eastAsia="zh-CN"/>
        </w:rPr>
        <w:t>》及课程教学大纲至各学院教学办，学院审核后报送教务处，再由教务处报学校教学委员会审批。</w:t>
      </w:r>
    </w:p>
    <w:p>
      <w:pPr>
        <w:ind w:firstLine="560"/>
        <w:rPr>
          <w:rFonts w:hint="eastAsia" w:ascii="仿宋_GB2312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4、</w:t>
      </w:r>
      <w:r>
        <w:rPr>
          <w:rFonts w:hint="eastAsia" w:ascii="仿宋_GB2312" w:eastAsia="仿宋_GB2312"/>
          <w:sz w:val="28"/>
          <w:szCs w:val="28"/>
          <w:lang w:eastAsia="zh-CN"/>
        </w:rPr>
        <w:t>教务处负责汇总全校通识教育选修课开设情况，并协助各学院做好课程编排工作。</w:t>
      </w:r>
    </w:p>
    <w:p>
      <w:pPr>
        <w:ind w:firstLine="576" w:firstLineChars="205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二、注意事项</w:t>
      </w:r>
    </w:p>
    <w:p>
      <w:pPr>
        <w:numPr>
          <w:ilvl w:val="0"/>
          <w:numId w:val="0"/>
        </w:numPr>
        <w:ind w:firstLine="560"/>
        <w:jc w:val="left"/>
        <w:rPr>
          <w:rFonts w:hint="eastAsia" w:ascii="仿宋_GB2312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1、因2017级、2018级人才培养方案变更，根据其人才培养方案中通识教育选修课的学分变更为1学分，每学期学生将可选择1门，且与其他学期已选课程不同类别的课程，每名老师可申报2门课程。</w:t>
      </w:r>
    </w:p>
    <w:p>
      <w:pPr>
        <w:numPr>
          <w:ilvl w:val="0"/>
          <w:numId w:val="0"/>
        </w:numPr>
        <w:ind w:firstLine="560"/>
        <w:jc w:val="left"/>
        <w:rPr>
          <w:rFonts w:hint="eastAsia" w:ascii="仿宋_GB2312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2、课程分类有：基础科学类、工程与信息科技、艺术与人文科学类、哲学与社会科学、经济与管理类、绿色工业课程。请申报通识教育选修课的教师务必在《</w:t>
      </w:r>
      <w:r>
        <w:rPr>
          <w:rFonts w:hint="eastAsia" w:ascii="仿宋_GB2312" w:eastAsia="仿宋_GB2312"/>
          <w:sz w:val="28"/>
          <w:szCs w:val="28"/>
        </w:rPr>
        <w:t>通识教育选修课程推荐表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》中“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课程类别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”栏中写明</w:t>
      </w:r>
      <w:r>
        <w:rPr>
          <w:rFonts w:hint="eastAsia" w:ascii="仿宋_GB2312" w:eastAsia="仿宋_GB2312"/>
          <w:b w:val="0"/>
          <w:bCs w:val="0"/>
          <w:kern w:val="0"/>
          <w:sz w:val="28"/>
          <w:szCs w:val="28"/>
          <w:lang w:val="en-US" w:eastAsia="zh-CN"/>
        </w:rPr>
        <w:t>所属类别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ind w:firstLine="560"/>
        <w:jc w:val="left"/>
        <w:rPr>
          <w:rFonts w:hint="eastAsia" w:ascii="仿宋_GB2312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3、学生通识教育选修课要求：</w:t>
      </w:r>
    </w:p>
    <w:p>
      <w:pPr>
        <w:widowControl/>
        <w:spacing w:before="0" w:beforeLines="0" w:line="360" w:lineRule="auto"/>
        <w:ind w:firstLine="562" w:firstLineChars="200"/>
        <w:jc w:val="left"/>
        <w:rPr>
          <w:rFonts w:hint="eastAsia" w:ascii="仿宋_GB2312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dotted"/>
          <w:lang w:val="en-US" w:eastAsia="zh-CN"/>
        </w:rPr>
        <w:t>16级本科生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选修10学分。</w:t>
      </w:r>
      <w:bookmarkStart w:id="0" w:name="OLE_LINK2"/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基础科学、工程与信息科技、艺术与人文科学、哲学与社会科学、经济与管理等五类共10学分，学生除2学分兴趣体育选修（归于“哲学与社会科学”类）外，还应在其他各类选修课中至少修得2个学分。</w:t>
      </w:r>
    </w:p>
    <w:p>
      <w:pPr>
        <w:widowControl/>
        <w:spacing w:before="0" w:beforeLines="0" w:line="360" w:lineRule="auto"/>
        <w:ind w:firstLine="562" w:firstLineChars="200"/>
        <w:jc w:val="left"/>
        <w:rPr>
          <w:rFonts w:hint="eastAsia" w:ascii="仿宋_GB2312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dotted"/>
          <w:lang w:val="en-US" w:eastAsia="zh-CN"/>
        </w:rPr>
        <w:t>17级、18级本科生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选修10学分。基础科学（1学分）、艺术与人文科学（1学分）、经济与管理（1学分）、绿色课工业课程[在生态文明（1学分），清洁生产（1学分），低碳经济（1学分），可持续发展与循环经济（1学分）等四门课程中选修2学分）]、兴趣体育选修课（2学分）、创新理论基础（1分）、大学生创业基础（2学分）。</w:t>
      </w:r>
      <w:bookmarkEnd w:id="0"/>
    </w:p>
    <w:p>
      <w:pPr>
        <w:numPr>
          <w:ilvl w:val="0"/>
          <w:numId w:val="0"/>
        </w:numPr>
        <w:jc w:val="left"/>
        <w:rPr>
          <w:rFonts w:hint="eastAsia" w:ascii="仿宋_GB2312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 xml:space="preserve">    4、上课时间：4-17周晚上或周末。</w:t>
      </w:r>
    </w:p>
    <w:p>
      <w:pPr>
        <w:spacing w:line="240" w:lineRule="auto"/>
        <w:ind w:firstLine="0" w:firstLineChars="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 xml:space="preserve">    5、各学院安排课程应首先满足基础课需要，若教师要求上课时间段无与预设人数相匹配的教室，请与教师沟通，根据教室容量调整预设人数或调整上课时间。后期若有基础课需要各种容量的教室，教务处将根据情况调整预设人数，首先满足基础课程排课需求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                                                      </w:t>
      </w:r>
    </w:p>
    <w:p>
      <w:pPr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 三、其他事项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为彰显学校绿色特色，重点建设符合绿色、低碳理念的课程，打造凸显绿色教育的课程模块。请相关学院开设以下相关内容的通识教育选修课（每个内容至少1门）。</w:t>
      </w:r>
    </w:p>
    <w:p>
      <w:pPr>
        <w:ind w:firstLine="700" w:firstLineChars="2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涉及“清洁生产”相关内容选修课，开课单位：土木建筑与环境学院；</w:t>
      </w:r>
    </w:p>
    <w:p>
      <w:pPr>
        <w:ind w:firstLine="700" w:firstLineChars="2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涉及“低碳经济”相关内容选修课，开课单位：经济与管理学院；</w:t>
      </w:r>
    </w:p>
    <w:p>
      <w:pPr>
        <w:ind w:firstLine="700" w:firstLineChars="2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涉及“可持续发展与循环经济”相关内容选修课，开课单位：经济与管理学院；</w:t>
      </w:r>
    </w:p>
    <w:p>
      <w:pPr>
        <w:ind w:firstLine="700" w:firstLineChars="2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涉及“生态文明”</w:t>
      </w:r>
      <w:r>
        <w:rPr>
          <w:rFonts w:hint="eastAsia" w:ascii="仿宋_GB2312" w:eastAsia="仿宋_GB2312"/>
          <w:sz w:val="28"/>
          <w:szCs w:val="28"/>
          <w:lang w:eastAsia="zh-CN"/>
        </w:rPr>
        <w:t>、“形势与政策”</w:t>
      </w:r>
      <w:r>
        <w:rPr>
          <w:rFonts w:hint="eastAsia" w:ascii="仿宋_GB2312" w:eastAsia="仿宋_GB2312"/>
          <w:sz w:val="28"/>
          <w:szCs w:val="28"/>
        </w:rPr>
        <w:t>相关内容选修课，开课单位：马克思主义学院；</w:t>
      </w:r>
    </w:p>
    <w:p>
      <w:pPr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ind w:firstLine="5040" w:firstLineChars="18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28"/>
          <w:szCs w:val="28"/>
        </w:rPr>
        <w:t>教务处</w:t>
      </w:r>
    </w:p>
    <w:p>
      <w:pPr>
        <w:ind w:firstLine="5040" w:firstLineChars="18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>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ind w:firstLine="5040" w:firstLineChars="1800"/>
        <w:rPr>
          <w:rFonts w:hint="eastAsia" w:ascii="仿宋_GB2312" w:eastAsia="仿宋_GB2312"/>
          <w:sz w:val="28"/>
          <w:szCs w:val="28"/>
        </w:rPr>
      </w:pPr>
    </w:p>
    <w:p>
      <w:pPr>
        <w:jc w:val="left"/>
        <w:rPr>
          <w:rFonts w:hint="eastAsia" w:ascii="仿宋_GB2312" w:eastAsia="仿宋_GB2312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b w:val="0"/>
          <w:bCs w:val="0"/>
          <w:kern w:val="0"/>
          <w:sz w:val="28"/>
          <w:szCs w:val="28"/>
          <w:lang w:eastAsia="zh-CN"/>
        </w:rPr>
        <w:t>通识教育选修课课程安排具体流程</w:t>
      </w:r>
    </w:p>
    <w:p>
      <w:pPr>
        <w:jc w:val="left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 w:val="0"/>
          <w:bCs w:val="0"/>
          <w:kern w:val="0"/>
          <w:sz w:val="28"/>
          <w:szCs w:val="28"/>
          <w:lang w:eastAsia="zh-CN"/>
        </w:rPr>
        <w:t>附件</w:t>
      </w:r>
      <w:r>
        <w:rPr>
          <w:rFonts w:hint="eastAsia" w:ascii="仿宋_GB2312" w:eastAsia="仿宋_GB2312"/>
          <w:b w:val="0"/>
          <w:bCs w:val="0"/>
          <w:kern w:val="0"/>
          <w:sz w:val="28"/>
          <w:szCs w:val="28"/>
          <w:lang w:val="en-US" w:eastAsia="zh-CN"/>
        </w:rPr>
        <w:t>2：</w:t>
      </w:r>
      <w:r>
        <w:rPr>
          <w:rFonts w:hint="eastAsia" w:ascii="仿宋_GB2312" w:eastAsia="仿宋_GB2312"/>
          <w:kern w:val="0"/>
          <w:sz w:val="28"/>
          <w:szCs w:val="28"/>
        </w:rPr>
        <w:t>通识教育选修课</w:t>
      </w:r>
      <w:r>
        <w:rPr>
          <w:rFonts w:hint="eastAsia" w:ascii="仿宋_GB2312" w:eastAsia="仿宋_GB2312"/>
          <w:kern w:val="0"/>
          <w:sz w:val="28"/>
          <w:szCs w:val="28"/>
          <w:lang w:eastAsia="zh-CN"/>
        </w:rPr>
        <w:t>程</w:t>
      </w:r>
      <w:r>
        <w:rPr>
          <w:rFonts w:hint="eastAsia" w:ascii="仿宋_GB2312" w:eastAsia="仿宋_GB2312"/>
          <w:kern w:val="0"/>
          <w:sz w:val="28"/>
          <w:szCs w:val="28"/>
        </w:rPr>
        <w:t>推荐表</w:t>
      </w:r>
    </w:p>
    <w:p>
      <w:pPr>
        <w:ind w:firstLine="0" w:firstLineChars="0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</w:p>
    <w:p>
      <w:pPr>
        <w:ind w:firstLine="0" w:firstLineChars="0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</w:p>
    <w:p>
      <w:pPr>
        <w:ind w:firstLine="0" w:firstLineChars="0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</w:p>
    <w:p>
      <w:pPr>
        <w:ind w:firstLine="0" w:firstLineChars="0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</w:p>
    <w:p>
      <w:pPr>
        <w:ind w:firstLine="0" w:firstLineChars="0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</w:p>
    <w:p>
      <w:pPr>
        <w:ind w:firstLine="0" w:firstLineChars="0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</w:p>
    <w:p>
      <w:pPr>
        <w:ind w:firstLine="0" w:firstLineChars="0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</w:p>
    <w:p>
      <w:pPr>
        <w:ind w:firstLine="0" w:firstLineChars="0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</w:p>
    <w:p>
      <w:pPr>
        <w:ind w:firstLine="0" w:firstLineChars="0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</w:p>
    <w:p>
      <w:pPr>
        <w:ind w:firstLine="0" w:firstLineChars="0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</w:p>
    <w:p>
      <w:pPr>
        <w:ind w:firstLine="0" w:firstLineChars="0"/>
        <w:rPr>
          <w:rFonts w:hint="eastAsia"/>
          <w:b/>
          <w:bCs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2968625</wp:posOffset>
                </wp:positionV>
                <wp:extent cx="5684520" cy="330200"/>
                <wp:effectExtent l="7620" t="7620" r="22860" b="2413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330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仿宋_GB2312" w:eastAsia="仿宋_GB2312"/>
                                <w:kern w:val="0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4"/>
                                <w:lang w:eastAsia="zh-CN"/>
                              </w:rPr>
                              <w:t>各学院征询教师意见，</w:t>
                            </w: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4"/>
                                <w:lang w:val="en-US" w:eastAsia="zh-CN"/>
                              </w:rPr>
                              <w:t>完成课程编排（19周）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3pt;margin-top:233.75pt;height:26pt;width:447.6pt;z-index:251662336;mso-width-relative:page;mso-height-relative:page;" fillcolor="#BBD5F0" filled="t" stroked="t" coordsize="21600,21600" o:gfxdata="UEsDBAoAAAAAAIdO4kAAAAAAAAAAAAAAAAAEAAAAZHJzL1BLAwQUAAAACACHTuJA4NpuANgAAAAI&#10;AQAADwAAAGRycy9kb3ducmV2LnhtbE2PwU7DMBBE70j8g7VIXBB1gnBoQ5weQD1QqYeUfsAmXpKI&#10;eB1ityl8Pe4JjqMZzbwp1mc7iBNNvnesIV0kIIgbZ3puNRzeN/dLED4gGxwck4Zv8rAur68KzI2b&#10;uaLTPrQilrDPUUMXwphL6ZuOLPqFG4mj9+EmiyHKqZVmwjmW20E+JEkmLfYcFzoc6aWj5nN/tBq+&#10;tratNhUN2Zyqu5/6bYeH153Wtzdp8gwi0Dn8heGCH9GhjEy1O7LxYtCQxZyGx+xJgYj2cqXik1qD&#10;SlcKZFnI/wfKX1BLAwQUAAAACACHTuJAZnsRbjICAABpBAAADgAAAGRycy9lMm9Eb2MueG1srVTN&#10;jtMwEL4j8Q6W7zRpu9ntRk1X6h8XBCsWxHmaOIkl/8n2NunTIHHjIXicFa/B2Gm7XbggRA/u2DPz&#10;eb5vxpnf9VKQPbOOa1XQ8SilhKlSV1w1Bf38aftmRonzoCoQWrGCHpijd4vXr+adydlEt1pUzBIE&#10;US7vTEFb702eJK5smQQ30oYpdNbaSvC4tU1SWegQXYpkkqbXSadtZawumXN4uh6cdBHx65qV/kNd&#10;O+aJKCjW5uNq47oLa7KYQ95YMC0vj2XAP1QhgSu89Ay1Bg/k0fI/oCQvrXa69qNSy0TXNS9Z5IBs&#10;xulvbB5aMCxyQXGcOcvk/h9s+X5/bwmvCjqhRIHEFv38+v3pxzcyCdp0xuUY8mDu7XHn0AxE+9rK&#10;8I8USB/1PJz1ZL0nJR5m17OrbIKyl+ibTlNsWABNnrONdf4t05IEo6AW+xVlhP0754fQU8hR3WrL&#10;hSBW+y/ct1GgcG10OswZDGI0ajQcO9vsVsKSPeAILJfrbHsqonGX0eM0/CLSi5Tb1XKzuUzB8pvT&#10;VYIrAmHUs6shHWuG3HPBPiKVgQBOVyw6eIQiHT6TbHaToSqAA18L8GhKgy1wqhnu14KfU14UczO9&#10;Xa2mRxHdZViQaQ2uHXhGVwiDXHLPQvMgbxlUG1URfzDYZoXvkYZqJKsoEQyfb7AGAsDF30SiFEJh&#10;Q8OYDIMRLN/veoQJ5k5XB5yvR2N502KDx7H04MF5jpNwfHvhwVzuI+jzF2Lx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DabgDYAAAACAEAAA8AAAAAAAAAAQAgAAAAIgAAAGRycy9kb3ducmV2Lnht&#10;bFBLAQIUABQAAAAIAIdO4kBmexFuMgIAAGkEAAAOAAAAAAAAAAEAIAAAACcBAABkcnMvZTJvRG9j&#10;LnhtbFBLBQYAAAAABgAGAFkBAADLBQAAAAA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仿宋_GB2312" w:eastAsia="仿宋_GB2312"/>
                          <w:kern w:val="0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4"/>
                          <w:lang w:eastAsia="zh-CN"/>
                        </w:rPr>
                        <w:t>各学院征询教师意见，</w:t>
                      </w:r>
                      <w:r>
                        <w:rPr>
                          <w:rFonts w:hint="eastAsia" w:ascii="仿宋_GB2312" w:eastAsia="仿宋_GB2312"/>
                          <w:kern w:val="0"/>
                          <w:sz w:val="24"/>
                          <w:lang w:val="en-US" w:eastAsia="zh-CN"/>
                        </w:rPr>
                        <w:t>完成课程编排（19周）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3519805</wp:posOffset>
                </wp:positionV>
                <wp:extent cx="5570220" cy="288290"/>
                <wp:effectExtent l="7620" t="7620" r="22860" b="889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0220" cy="2882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仿宋_GB2312" w:eastAsia="仿宋_GB2312"/>
                                <w:kern w:val="0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4"/>
                                <w:lang w:eastAsia="zh-CN"/>
                              </w:rPr>
                              <w:t>教务处关闭各学院</w:t>
                            </w: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4"/>
                                <w:lang w:val="en-US" w:eastAsia="zh-CN"/>
                              </w:rPr>
                              <w:t>课程编排</w:t>
                            </w: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4"/>
                                <w:lang w:eastAsia="zh-CN"/>
                              </w:rPr>
                              <w:t>权限，检查并调整（</w:t>
                            </w: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4"/>
                                <w:lang w:val="en-US" w:eastAsia="zh-CN"/>
                              </w:rPr>
                              <w:t>20周</w:t>
                            </w: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4"/>
                                <w:lang w:eastAsia="zh-CN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95pt;margin-top:277.15pt;height:22.7pt;width:438.6pt;z-index:251665408;mso-width-relative:page;mso-height-relative:page;" fillcolor="#BBD5F0" filled="t" stroked="t" coordsize="21600,21600" o:gfxdata="UEsDBAoAAAAAAIdO4kAAAAAAAAAAAAAAAAAEAAAAZHJzL1BLAwQUAAAACACHTuJAS735gtkAAAAJ&#10;AQAADwAAAGRycy9kb3ducmV2LnhtbE2PvU7DQBCEeyTe4bRINIicDTiJjc8pQClASuGQB1j7Ftvi&#10;fozvEgeenqWCcnZGs9+Um7M14kRTGLxTkC4SEORarwfXKTi8bW/XIEJEp9F4Rwq+KMCmurwosdB+&#10;djWd9rETXOJCgQr6GMdCytD2ZDEs/EiOvXc/WYwsp07qCWcut0beJclSWhwcf+hxpKee2o/90Sr4&#10;fLVdva3JLOc0u/luXnZ4eN4pdX2VJo8gIp3jXxh+8RkdKmZq/NHpIAzrnIMKsuzhHgT761Wegmj4&#10;kucrkFUp/y+ofgBQSwMEFAAAAAgAh07iQDUPnI4wAgAAaQQAAA4AAABkcnMvZTJvRG9jLnhtbK1U&#10;y47TMBTdI/EPlvc0aUpoGzUdqS82CEYMo1m7jpNY8ku2p0m/BokdH8HnjPgNrp2204ENQnThXvu+&#10;zz03i5teCnRg1nGtSjwepRgxRXXFVVPi+y+7NzOMnCeqIkIrVuIjc/hm+frVojMFy3SrRcUsgiDK&#10;FZ0pceu9KZLE0ZZJ4kbaMAXKWltJPFxtk1SWdBBdiiRL03dJp21lrKbMOXjdDEq8jPHrmlH/qa4d&#10;80iUGGrz8bTx3IczWS5I0VhiWk5PZZB/qEISriDpJdSGeIIeLf8jlOTUaqdrP6JaJrquOWWxB+hm&#10;nP7WzV1LDIu9ADjOXGBy/y8s/Xi4tYhXJZ5gpIiEEf38+v3pxzc0Cdh0xhVgcmdu7enmQAyN9rWV&#10;4R9aQH3E83jBk/UeUXjM82maZQA7BV02m2XzCHjy7G2s8++ZligIJbYwrwgjOXxwHjKC6dnkhG61&#10;40Igq/0D920EKKSNSgc+g4CMBoyGZ2eb/VpYdCBAgdVqk+/ORTTu2nqchl+M9MJlvl5tt9cuUFNz&#10;TiW4QiRQPX87uEc+eS7YZ2hlaADYFYsOyYRCHaxJPpvmgAoBwteCeBClgRE41Qz5teAXlxfFTCfz&#10;9TpOBqpw12YBpg1x7dBnVA3kltyzMDxStIxUW1UhfzQwZgX7iEM1klUYCQbrG6ShAcLF31hCEULB&#10;lAJNBmIEyff7HsIEca+rI/Dr0VjetDDgcYgfzYHPcbyn3QsLc32PVs9fiO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735gtkAAAAJAQAADwAAAAAAAAABACAAAAAiAAAAZHJzL2Rvd25yZXYueG1s&#10;UEsBAhQAFAAAAAgAh07iQDUPnI4wAgAAaQQAAA4AAAAAAAAAAQAgAAAAKAEAAGRycy9lMm9Eb2Mu&#10;eG1sUEsFBgAAAAAGAAYAWQEAAMoFAAAAAA=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仿宋_GB2312" w:eastAsia="仿宋_GB2312"/>
                          <w:kern w:val="0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4"/>
                          <w:lang w:eastAsia="zh-CN"/>
                        </w:rPr>
                        <w:t>教务处关闭各学院</w:t>
                      </w:r>
                      <w:r>
                        <w:rPr>
                          <w:rFonts w:hint="eastAsia" w:ascii="仿宋_GB2312" w:eastAsia="仿宋_GB2312"/>
                          <w:kern w:val="0"/>
                          <w:sz w:val="24"/>
                          <w:lang w:val="en-US" w:eastAsia="zh-CN"/>
                        </w:rPr>
                        <w:t>课程编排</w:t>
                      </w:r>
                      <w:r>
                        <w:rPr>
                          <w:rFonts w:hint="eastAsia" w:ascii="仿宋_GB2312" w:eastAsia="仿宋_GB2312"/>
                          <w:kern w:val="0"/>
                          <w:sz w:val="24"/>
                          <w:lang w:eastAsia="zh-CN"/>
                        </w:rPr>
                        <w:t>权限，检查并调整（</w:t>
                      </w:r>
                      <w:r>
                        <w:rPr>
                          <w:rFonts w:hint="eastAsia" w:ascii="仿宋_GB2312" w:eastAsia="仿宋_GB2312"/>
                          <w:kern w:val="0"/>
                          <w:sz w:val="24"/>
                          <w:lang w:val="en-US" w:eastAsia="zh-CN"/>
                        </w:rPr>
                        <w:t>20周</w:t>
                      </w:r>
                      <w:r>
                        <w:rPr>
                          <w:rFonts w:hint="eastAsia" w:ascii="仿宋_GB2312" w:eastAsia="仿宋_GB2312"/>
                          <w:kern w:val="0"/>
                          <w:sz w:val="24"/>
                          <w:lang w:eastAsia="zh-CN"/>
                        </w:rPr>
                        <w:t>）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2769235</wp:posOffset>
                </wp:positionH>
                <wp:positionV relativeFrom="paragraph">
                  <wp:posOffset>3265170</wp:posOffset>
                </wp:positionV>
                <wp:extent cx="75565" cy="245745"/>
                <wp:effectExtent l="13970" t="7620" r="24765" b="32385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45745"/>
                        </a:xfrm>
                        <a:prstGeom prst="downArrow">
                          <a:avLst>
                            <a:gd name="adj1" fmla="val 50000"/>
                            <a:gd name="adj2" fmla="val 81302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8.05pt;margin-top:257.1pt;height:19.35pt;width:5.95pt;z-index:251666432;mso-width-relative:page;mso-height-relative:page;" fillcolor="#BBD5F0" filled="t" stroked="t" coordsize="21600,21600" o:gfxdata="UEsDBAoAAAAAAIdO4kAAAAAAAAAAAAAAAAAEAAAAZHJzL1BLAwQUAAAACACHTuJA3IAfCNsAAAAL&#10;AQAADwAAAGRycy9kb3ducmV2LnhtbE2PwU7DMAyG70i8Q2QkLoilLW01StNJ29QdkRhI2zFrQlPR&#10;OFWTdd3bY07saPvT7+8vV7Pt2aRH3zkUEC8iYBobpzpsBXx91s9LYD5IVLJ3qAVctYdVdX9XykK5&#10;C37oaR9aRiHoCynAhDAUnPvGaCv9wg0a6fbtRisDjWPL1SgvFG57nkRRzq3skD4YOeiN0c3P/mwF&#10;1Nv1IeRmc90dh23W7ur3eT09CfH4EEdvwIKewz8Mf/qkDhU5ndwZlWe9gPQljwkVkMVpAoyINF1S&#10;uxNtsuQVeFXy2w7VL1BLAwQUAAAACACHTuJAVg1DwlwCAADDBAAADgAAAGRycy9lMm9Eb2MueG1s&#10;rVTNjtMwEL4j8Q6W7zRJ22y7VdMV/eOCYMXyc3ZjJzHyn2xv0z4Dr8EVThx4IBCvwdjJdrvAASFy&#10;cMb2/HzzzYznVwcp0J5Zx7UqcDZIMWKq1JSrusBvXm+fTDFynihKhFaswEfm8NXi8aN5a2ZsqBst&#10;KLMInCg3a02BG+/NLElc2TBJ3EAbpuCy0lYSD1tbJ9SSFrxLkQzT9CJptaXG6pI5B6fr7hIvov+q&#10;YqV/WVWOeSQKDNh8XG1cd2FNFnMyqy0xDS97GOQfUEjCFQQ9uVoTT9Ct5b+5kry02unKD0otE11V&#10;vGQxB8gmS3/J5qYhhsVcgBxnTjS5/+e2fLG/tojTAo8xUkRCib59/fDj86fvH7+gcaCnNW4GWjfm&#10;2vY7B2LI9VBZGf6QBTpESo8nStnBoxIOJ3l+kWNUws1wnE/GeXCZ3Nsa6/wzpiUKQoGpbtVTa3Ub&#10;yST7585HVmmPjdD3GUaVFFCkPREoT+Hri3imMzzXmWajdNiH7T0CgLvAfdHolguBrPbvuG8i7yGV&#10;eOnuQDhkNFDfHTtb71bCIkBR4OVynW8jDvBcu86s084Cwj+YXK6Wm825SbTsQwmuEAkTlI8789im&#10;ngv2Cjq6YxCaNoIOwYRCLUxfPp0ErgnMUSWIB1EaqKxTdczEacFPJg/wT0aXq9Wo5+iBWqBpTVzT&#10;5RmvOrol98xGWA0jdKMo8kcD3aNgzHFAIxnFSDB4FYLUJUC4+BtNoEIoaJPQel2zBWmn6RF6FR4b&#10;aBRG3sIfo1tjed3AQRbRBz2YlNhi/VSHUTzfR7/3b8/i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NyAHwjbAAAACwEAAA8AAAAAAAAAAQAgAAAAIgAAAGRycy9kb3ducmV2LnhtbFBLAQIUABQAAAAI&#10;AIdO4kBWDUPCXAIAAMMEAAAOAAAAAAAAAAEAIAAAACoBAABkcnMvZTJvRG9jLnhtbFBLBQYAAAAA&#10;BgAGAFkBAAD4BQAAAAA=&#10;" adj="16201,5400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2776855</wp:posOffset>
                </wp:positionH>
                <wp:positionV relativeFrom="paragraph">
                  <wp:posOffset>2708275</wp:posOffset>
                </wp:positionV>
                <wp:extent cx="75565" cy="245745"/>
                <wp:effectExtent l="13970" t="7620" r="24765" b="32385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45745"/>
                        </a:xfrm>
                        <a:prstGeom prst="downArrow">
                          <a:avLst>
                            <a:gd name="adj1" fmla="val 50000"/>
                            <a:gd name="adj2" fmla="val 81302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8.65pt;margin-top:213.25pt;height:19.35pt;width:5.95pt;z-index:251664384;mso-width-relative:page;mso-height-relative:page;" fillcolor="#BBD5F0" filled="t" stroked="t" coordsize="21600,21600" o:gfxdata="UEsDBAoAAAAAAIdO4kAAAAAAAAAAAAAAAAAEAAAAZHJzL1BLAwQUAAAACACHTuJA+16RUdsAAAAL&#10;AQAADwAAAGRycy9kb3ducmV2LnhtbE2PwU6DQBCG7ya+w2ZMvBi7lAIqsjRpG3o0sZroccuOQGRn&#10;Cbul9O0dT3r7J/Pln2+K9Wx7MeHoO0cKlosIBFLtTEeNgve36v4RhA+ajO4doYILeliX11eFzo07&#10;0ytOh9AILiGfawVtCEMupa9btNov3IDEuy83Wh14HBtpRn3mctvLOIoyaXVHfKHVA25brL8PJ6ug&#10;2m0+QtZuL/vPYZc2++pl3kx3St3eLKNnEAHn8AfDrz6rQ8lOR3ci40WvIFk9rBjlEGcpCCaS5CkG&#10;ceSQpTHIspD/fyh/AFBLAwQUAAAACACHTuJA6vO3a1wCAADDBAAADgAAAGRycy9lMm9Eb2MueG1s&#10;rVTNjtMwEL4j8Q6W7zRJ22y7VdMV/eOCYMXyc3ZjJzHyn2xv0z4Dr8EVThx4IBCvwdjJdrvAASFy&#10;cMb2/HzzzYznVwcp0J5Zx7UqcDZIMWKq1JSrusBvXm+fTDFynihKhFaswEfm8NXi8aN5a2ZsqBst&#10;KLMInCg3a02BG+/NLElc2TBJ3EAbpuCy0lYSD1tbJ9SSFrxLkQzT9CJptaXG6pI5B6fr7hIvov+q&#10;YqV/WVWOeSQKDNh8XG1cd2FNFnMyqy0xDS97GOQfUEjCFQQ9uVoTT9Ct5b+5kry02unKD0otE11V&#10;vGQxB8gmS3/J5qYhhsVcgBxnTjS5/+e2fLG/tojTAucYKSKhRN++fvjx+dP3j19QHuhpjZuB1o25&#10;tv3OgRhyPVRWhj9kgQ6R0uOJUnbwqITDSZ5fgOcSbobjfDKOLpN7W2Odf8a0REEoMNWtemqtbiOZ&#10;ZP/c+cgq7bER+j7DqJICirQnAuUpfH0Rz3SG5zrTbJQOgw6E7T2CdBe4LxrdciGQ1f4d903kPaQS&#10;L90dCIeMBuq7Y2fr3UpYBCgKvFyu823EAZ5r15l12llA+AeTy9Vyszk3iZZ9KMEVImGC8nFnHtvU&#10;c8FeQUd3qUDTRtAhmFCohenLp5PANYE5qgTxIEoDlXWqjpk4LfjJ5AH+yehytRr1HD1QCzStiWu6&#10;PONVR7fkntkIq2GEbhRF/migexSMOQ5oJKMYCQavQpC6BAgXf6MJVAgF9Qqt1zVbkHaaHqFX4bGB&#10;RmHkLfwxujWW1w0cZBF90INJibXupzqM4vk++r1/exY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tekVHbAAAACwEAAA8AAAAAAAAAAQAgAAAAIgAAAGRycy9kb3ducmV2LnhtbFBLAQIUABQAAAAI&#10;AIdO4kDq87drXAIAAMMEAAAOAAAAAAAAAAEAIAAAACoBAABkcnMvZTJvRG9jLnhtbFBLBQYAAAAA&#10;BgAGAFkBAAD4BQAAAAA=&#10;" adj="16201,5400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bookmarkStart w:id="1" w:name="_GoBack"/>
      <w:bookmarkEnd w:id="1"/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2215515</wp:posOffset>
                </wp:positionV>
                <wp:extent cx="5685790" cy="478155"/>
                <wp:effectExtent l="7620" t="7620" r="21590" b="95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5790" cy="4781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仿宋_GB2312" w:eastAsia="仿宋_GB2312"/>
                                <w:kern w:val="0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4"/>
                                <w:lang w:eastAsia="zh-CN"/>
                              </w:rPr>
                              <w:t>教务处教学科在教学平台中录入通过审批的通识教育选修课以及</w:t>
                            </w: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4"/>
                                <w:lang w:val="en-US" w:eastAsia="zh-CN"/>
                              </w:rPr>
                              <w:t>本学期已</w:t>
                            </w: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4"/>
                                <w:lang w:eastAsia="zh-CN"/>
                              </w:rPr>
                              <w:t>开设的通识教育选修课任务</w:t>
                            </w: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4"/>
                                <w:lang w:val="en-US" w:eastAsia="zh-CN"/>
                              </w:rPr>
                              <w:t>，放开各学院课程编排权限</w:t>
                            </w: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4"/>
                                <w:lang w:val="en-US" w:eastAsia="zh-CN"/>
                              </w:rPr>
                              <w:t>18周</w:t>
                            </w: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4"/>
                                <w:lang w:eastAsia="zh-CN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3pt;margin-top:174.45pt;height:37.65pt;width:447.7pt;z-index:251661312;mso-width-relative:page;mso-height-relative:page;" fillcolor="#BBD5F0" filled="t" stroked="t" coordsize="21600,21600" o:gfxdata="UEsDBAoAAAAAAIdO4kAAAAAAAAAAAAAAAAAEAAAAZHJzL1BLAwQUAAAACACHTuJA3ypzTNgAAAAI&#10;AQAADwAAAGRycy9kb3ducmV2LnhtbE2PQU+DQBSE7yb+h80z8WLsAiKhyNKDpgdNeqD2BzzYJxDZ&#10;t8huS/XXu57scTKTmW/KzdmM4kSzGywriFcRCOLW6oE7BYf37X0OwnlkjaNlUvBNDjbV9VWJhbYL&#10;13Ta+06EEnYFKui9nwopXduTQbeyE3HwPuxs0Ac5d1LPuIRyM8okijJpcOCw0ONEzz21n/ujUfD1&#10;Zrp6W9OYLfHj3U/zusPDy06p25s4egLh6ez/w/CHH9ChCkyNPbJ2YlSQhZyChzRfgwh2vs7CtUZB&#10;mqQJyKqUlweqX1BLAwQUAAAACACHTuJAzmr4azMCAABpBAAADgAAAGRycy9lMm9Eb2MueG1srVRL&#10;btswEN0X6B0I7mvZSeSPYDmAf90UbdA0yHosURIB/kAylnyaAt31ED1O0Wt0SKmO026Kol7QQ87M&#10;47w3Qy1vOynIkVnHtcrpZDSmhKlCl1zVOX34tH8zp8R5UCUIrVhOT8zR29XrV8vWZOxKN1qUzBIE&#10;US5rTU4b702WJK5omAQ30oYpdFbaSvC4tXVSWmgRXYrkajyeJq22pbG6YM7h6bZ30lXErypW+A9V&#10;5ZgnIqdYm4+rjeshrMlqCVltwTS8GMqAf6hCAld46RlqCx7Ik+V/QEleWO105UeFlomuKl6wyAHZ&#10;TMa/sblvwLDIBcVx5iyT+3+wxfvjnSW8zOmUEgUSW/Tj89fv376QadCmNS7DkHtzZ4edQzMQ7Sor&#10;wz9SIF3U83TWk3WeFHiYTufpbIGyF+i7mc0naRpAk+dsY51/y7QkwcipxX5FGeH4zvk+9FfIoG65&#10;50IQq/0j900UKFwbnQ5zeoMYjRr1x87Wh42w5Ag4Auv1Nt3HrmMRtbuMnozDLyK9SFls1rvdZUrM&#10;HK4SXBEIo57e9OlYM2SeC/YRqfQEcLpi0cEjFGnxmaTzWYqqAA58JcCjKQ22wKm6v18Lfk55Uczs&#10;erHZXA8iusuwINMWXNPzjK4QBpnknoXmQdYwKHeqJP5ksM0K3yMN1UhWUiIYPt9g9QSAi7+JRCmE&#10;woaGMekHI1i+O3QIE8yDLk84X0/G8rrBBk9i6cGD8xwnYXh74cFc7iPo8xdi9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fKnNM2AAAAAgBAAAPAAAAAAAAAAEAIAAAACIAAABkcnMvZG93bnJldi54&#10;bWxQSwECFAAUAAAACACHTuJAzmr4azMCAABpBAAADgAAAAAAAAABACAAAAAnAQAAZHJzL2Uyb0Rv&#10;Yy54bWxQSwUGAAAAAAYABgBZAQAAzAUAAAAA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仿宋_GB2312" w:eastAsia="仿宋_GB2312"/>
                          <w:kern w:val="0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4"/>
                          <w:lang w:eastAsia="zh-CN"/>
                        </w:rPr>
                        <w:t>教务处教学科在教学平台中录入通过审批的通识教育选修课以及</w:t>
                      </w:r>
                      <w:r>
                        <w:rPr>
                          <w:rFonts w:hint="eastAsia" w:ascii="仿宋_GB2312" w:eastAsia="仿宋_GB2312"/>
                          <w:kern w:val="0"/>
                          <w:sz w:val="24"/>
                          <w:lang w:val="en-US" w:eastAsia="zh-CN"/>
                        </w:rPr>
                        <w:t>本学期已</w:t>
                      </w:r>
                      <w:r>
                        <w:rPr>
                          <w:rFonts w:hint="eastAsia" w:ascii="仿宋_GB2312" w:eastAsia="仿宋_GB2312"/>
                          <w:kern w:val="0"/>
                          <w:sz w:val="24"/>
                          <w:lang w:eastAsia="zh-CN"/>
                        </w:rPr>
                        <w:t>开设的通识教育选修课任务</w:t>
                      </w:r>
                      <w:r>
                        <w:rPr>
                          <w:rFonts w:hint="eastAsia" w:ascii="仿宋_GB2312" w:eastAsia="仿宋_GB2312"/>
                          <w:kern w:val="0"/>
                          <w:sz w:val="24"/>
                          <w:lang w:val="en-US" w:eastAsia="zh-CN"/>
                        </w:rPr>
                        <w:t>，放开各学院课程编排权限</w:t>
                      </w:r>
                      <w:r>
                        <w:rPr>
                          <w:rFonts w:hint="eastAsia" w:ascii="仿宋_GB2312" w:eastAsia="仿宋_GB2312"/>
                          <w:kern w:val="0"/>
                          <w:sz w:val="24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仿宋_GB2312" w:eastAsia="仿宋_GB2312"/>
                          <w:kern w:val="0"/>
                          <w:sz w:val="24"/>
                          <w:lang w:val="en-US" w:eastAsia="zh-CN"/>
                        </w:rPr>
                        <w:t>18周</w:t>
                      </w:r>
                      <w:r>
                        <w:rPr>
                          <w:rFonts w:hint="eastAsia" w:ascii="仿宋_GB2312" w:eastAsia="仿宋_GB2312"/>
                          <w:kern w:val="0"/>
                          <w:sz w:val="24"/>
                          <w:lang w:eastAsia="zh-CN"/>
                        </w:rPr>
                        <w:t>）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2792730</wp:posOffset>
                </wp:positionH>
                <wp:positionV relativeFrom="paragraph">
                  <wp:posOffset>1955165</wp:posOffset>
                </wp:positionV>
                <wp:extent cx="75565" cy="245745"/>
                <wp:effectExtent l="13970" t="7620" r="24765" b="32385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45745"/>
                        </a:xfrm>
                        <a:prstGeom prst="downArrow">
                          <a:avLst>
                            <a:gd name="adj1" fmla="val 50000"/>
                            <a:gd name="adj2" fmla="val 81302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9.9pt;margin-top:153.95pt;height:19.35pt;width:5.95pt;z-index:251663360;mso-width-relative:page;mso-height-relative:page;" fillcolor="#BBD5F0" filled="t" stroked="t" coordsize="21600,21600" o:gfxdata="UEsDBAoAAAAAAIdO4kAAAAAAAAAAAAAAAAAEAAAAZHJzL1BLAwQUAAAACACHTuJAEfp4wtwAAAAL&#10;AQAADwAAAGRycy9kb3ducmV2LnhtbE2PwU7DMBBE70j8g7VIXBC1Q9OUhjiV2io9VqIgwdGNTRwR&#10;r6PYTdO/ZznBcWdHM2+K9eQ6NpohtB4lJDMBzGDtdYuNhPe36vEZWIgKteo8GglXE2Bd3t4UKtf+&#10;gq9mPMaGUQiGXEmwMfY556G2xqkw871B+n35walI59BwPagLhbuOPwmRcadapAarerO1pv4+np2E&#10;arf5iJndXvef/W7R7KvDtBkfpLy/S8QLsGim+GeGX3xCh5KYTv6MOrBOQjpfEXqUMBfLFTBypItk&#10;CexESpplwMuC/99Q/gBQSwMEFAAAAAgAh07iQNMIL+NcAgAAwwQAAA4AAABkcnMvZTJvRG9jLnht&#10;bK1UzY7TMBC+I/EOlu80Sdtsu1XTFf3jgmDF8nN2Yycx8p9sb9M+A6/BFU4ceCAQr8HYyXa7wAEh&#10;cnDG9vx8882M51cHKdCeWce1KnA2SDFiqtSUq7rAb15vn0wxcp4oSoRWrMBH5vDV4vGjeWtmbKgb&#10;LSizCJwoN2tNgRvvzSxJXNkwSdxAG6bgstJWEg9bWyfUkha8S5EM0/QiabWlxuqSOQen6+4SL6L/&#10;qmKlf1lVjnkkCgzYfFxtXHdhTRZzMqstMQ0vexjkH1BIwhUEPblaE0/QreW/uZK8tNrpyg9KLRNd&#10;VbxkMQfIJkt/yeamIYbFXIAcZ040uf/ntnyxv7aI0wJPMFJEQom+ff3w4/On7x+/oEmgpzVuBlo3&#10;5tr2OwdiyPVQWRn+kAU6REqPJ0rZwaMSDid5fpFjVMLNcJxPxnlwmdzbGuv8M6YlCkKBqW7VU2t1&#10;G8kk++fOR1Zpj43Q9xlGlRRQpD0RKE/h64t4pjM815lmo3TYh+09AoC7wH3R6JYLgaz277hvIu8h&#10;lXjp7kA4ZDRQ3x07W+9WwiJAUeDlcp1vIw7wXLvOrNPOAsI/mFyulpvNuUm07EMJrhAJE5SPO/PY&#10;pp4L9go6umMQmjaCDsGEQi1MXz6dBK4JzFEliAdRGqisU3XMxGnBTyYP8E9Gl6vVqOfogVqgaU1c&#10;0+UZrzq6JffMRlgNI3SjKPJHA92jYMxxQCMZxUgweBWC1CVAuPgbTaBCKGiT0HpdswVpp+kRehUe&#10;G2gURt7CH6NbY3ndwEEW0Qc9mJTYYv1Uh1E830e/92/P4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R+njC3AAAAAsBAAAPAAAAAAAAAAEAIAAAACIAAABkcnMvZG93bnJldi54bWxQSwECFAAUAAAA&#10;CACHTuJA0wgv41wCAADDBAAADgAAAAAAAAABACAAAAArAQAAZHJzL2Uyb0RvYy54bWxQSwUGAAAA&#10;AAYABgBZAQAA+QUAAAAA&#10;" adj="16201,5400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2797175</wp:posOffset>
                </wp:positionH>
                <wp:positionV relativeFrom="paragraph">
                  <wp:posOffset>1373505</wp:posOffset>
                </wp:positionV>
                <wp:extent cx="75565" cy="245745"/>
                <wp:effectExtent l="13970" t="7620" r="24765" b="323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45745"/>
                        </a:xfrm>
                        <a:prstGeom prst="downArrow">
                          <a:avLst>
                            <a:gd name="adj1" fmla="val 50000"/>
                            <a:gd name="adj2" fmla="val 81302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0.25pt;margin-top:108.15pt;height:19.35pt;width:5.95pt;z-index:251659264;mso-width-relative:page;mso-height-relative:page;" fillcolor="#BBD5F0" filled="t" stroked="t" coordsize="21600,21600" o:gfxdata="UEsDBAoAAAAAAIdO4kAAAAAAAAAAAAAAAAAEAAAAZHJzL1BLAwQUAAAACACHTuJAjy8tgtoAAAAL&#10;AQAADwAAAGRycy9kb3ducmV2LnhtbE2PwU7DMAyG70i8Q2QkLoglLU2FStNJ29QdkRhIcMwa01Y0&#10;TtVkXff2hBM72v70+/vL9WIHNuPke0cKkpUAhtQ401Or4OO9fnwG5oMmowdHqOCCHtbV7U2pC+PO&#10;9IbzIbQshpAvtIIuhLHg3DcdWu1XbkSKt283WR3iOLXcTPocw+3AUyFybnVP8UOnR9x22PwcTlZB&#10;vdt8hrzbXvZf4062+/p12cwPSt3fJeIFWMAl/MPwpx/VoYpOR3ci49mgIMuEjKiCNMmfgEUik2kG&#10;7Bg3UgrgVcmvO1S/UEsDBBQAAAAIAIdO4kBCG/NHXAIAAMMEAAAOAAAAZHJzL2Uyb0RvYy54bWyt&#10;VM2O0zAQviPxDpbvNEnbbLtV0xX944JgxfJzdmMnMfKfbG/TPgOvwRVOHHggEK/B2Ml2u8ABIXJw&#10;xvb8fPPNjOdXBynQnlnHtSpwNkgxYqrUlKu6wG9eb59MMXKeKEqEVqzAR+bw1eLxo3lrZmyoGy0o&#10;swicKDdrTYEb780sSVzZMEncQBum4LLSVhIPW1sn1JIWvEuRDNP0Imm1pcbqkjkHp+vuEi+i/6pi&#10;pX9ZVY55JAoM2HxcbVx3YU0WczKrLTENL3sY5B9QSMIVBD25WhNP0K3lv7mSvLTa6coPSi0TXVW8&#10;ZDEHyCZLf8nmpiGGxVyAHGdONLn/57Z8sb+2iNMCQ6EUkVCib18//Pj86fvHL2ga6GmNm4HWjbm2&#10;/c6BGHI9VFaGP2SBDpHS44lSdvCohMNJnl/kGJVwMxznk3EeXCb3tsY6/4xpiYJQYKpb9dRa3UYy&#10;yf6585FV2mMj9H2GUSUFFGlPBMpT+PoinukMz3Wm2Sgd9mF7jwDgLnBfNLrlQiCr/Tvum8h7SCVe&#10;ujsQDhkN1HfHzta7lbAIUBR4uVzn24gDPNeuM+u0s4DwDyaXq+Vmc24SLftQgitEwgTl4848tqnn&#10;gr2Cju4YhKaNoEMwoVAL05dPJ4FrAnNUCeJBlAYq61QdM3Fa8JPJA/yT0eVqNeo5eqAWaFoT13R5&#10;xquObsk9sxFWwwjdKIr80UD3KBhzHNBIRjESDF6FIHUJEC7+RhOoEAraJLRe12xB2ml6hF6FxwYa&#10;hZG38Mfo1lheN3CQRfRBDyYltlg/1WEUz/fR7/3bs/g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jy8tgtoAAAALAQAADwAAAAAAAAABACAAAAAiAAAAZHJzL2Rvd25yZXYueG1sUEsBAhQAFAAAAAgA&#10;h07iQEIb80dcAgAAwwQAAA4AAAAAAAAAAQAgAAAAKQEAAGRycy9lMm9Eb2MueG1sUEsFBgAAAAAG&#10;AAYAWQEAAPcFAAAAAA==&#10;" adj="16201,5400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1622425</wp:posOffset>
                </wp:positionV>
                <wp:extent cx="5659120" cy="327025"/>
                <wp:effectExtent l="7620" t="7620" r="10160" b="825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9120" cy="3270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仿宋_GB2312" w:eastAsia="仿宋_GB2312"/>
                                <w:kern w:val="0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4"/>
                                <w:lang w:eastAsia="zh-CN"/>
                              </w:rPr>
                              <w:t>教务处报教学委员会</w:t>
                            </w:r>
                            <w:r>
                              <w:rPr>
                                <w:rFonts w:hint="eastAsia" w:ascii="仿宋_GB2312" w:hAnsi="Times New Roman" w:eastAsia="仿宋_GB2312"/>
                                <w:kern w:val="0"/>
                                <w:sz w:val="24"/>
                              </w:rPr>
                              <w:t>审定批准</w:t>
                            </w: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4"/>
                                <w:lang w:eastAsia="zh-CN"/>
                              </w:rPr>
                              <w:t>新申报课程（</w:t>
                            </w: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4"/>
                                <w:lang w:val="en-US" w:eastAsia="zh-CN"/>
                              </w:rPr>
                              <w:t>17周周五前</w:t>
                            </w: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4"/>
                                <w:lang w:eastAsia="zh-CN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65pt;margin-top:127.75pt;height:25.75pt;width:445.6pt;z-index:251660288;mso-width-relative:page;mso-height-relative:page;" fillcolor="#BBD5F0" filled="t" stroked="t" coordsize="21600,21600" o:gfxdata="UEsDBAoAAAAAAIdO4kAAAAAAAAAAAAAAAAAEAAAAZHJzL1BLAwQUAAAACACHTuJAnvIIktkAAAAJ&#10;AQAADwAAAGRycy9kb3ducmV2LnhtbE2Py07DMBBF90j8gzVIbBC105I+QpwuQF2A1EVKP8CJhyQi&#10;HofYbQpfz7CC3YzO1Z0z+fbienHGMXSeNCQzBQKp9rajRsPxbXe/BhGiIWt6T6jhCwNsi+ur3GTW&#10;T1Ti+RAbwSUUMqOhjXHIpAx1i86EmR+QmL370ZnI69hIO5qJy10v50otpTMd8YXWDPjUYv1xODkN&#10;n6+uKXcl9sspSe++q5e9OT7vtb69SdQjiIiX+BeGX31Wh4KdKn8iG0SvYbHgoIZ5mqYgmK83DzxU&#10;DNRKgSxy+f+D4gdQSwMEFAAAAAgAh07iQNymAIkzAgAAaQQAAA4AAABkcnMvZTJvRG9jLnhtbK1U&#10;zY7TMBC+I/EOlu80aUt2t1HTlfrHBcGKBXGeJk5iyX+yvU36NEjceAgeZ8VrMHZCtwsXhOjBHXtm&#10;Ps/3zTjL214KcmTWca0KOp2klDBV6oqrpqCfPu5f3VDiPKgKhFasoCfm6O3q5YtlZ3I2060WFbME&#10;QZTLO1PQ1nuTJ4krWybBTbRhCp21thI8bm2TVBY6RJcimaXpVdJpWxmrS+Ycnm4HJ11F/LpmpX9f&#10;1455IgqKtfm42rgewpqslpA3FkzLy7EM+IcqJHCFl56htuCBPFj+B5TkpdVO135SapnouuYlixyQ&#10;zTT9jc19C4ZFLiiOM2eZ3P+DLd8d7yzhVUEXlCiQ2KIfX749fv9KFkGbzrgcQ+7NnR13Ds1AtK+t&#10;DP9IgfRRz9NZT9Z7UuJhdpUtpjOUvUTffHadzrIAmjxlG+v8G6YlCUZBLfYrygjHt84Pob9CRnWr&#10;PReCWO0/c99GgcK10ekwZzCI0ajRcOxsc9gIS46AI7Beb7N97DoW0bjL6GkafhHpWcpis97tLlNi&#10;5niV4IpAGPXs9ZCONUPuuWAfkMpAAKcrFh08QpEOn0l2c52hKoADXwvwaEqDLXCqGe7Xgp9TnhVz&#10;PV9sNvNRRHcZFmTagmsHntEVwiCX3LPQPMhbBtVOVcSfDLZZ4XukoRrJKkoEw+cbrIEAcPE3kSiF&#10;UNjQMCbDYATL94ceYYJ50NUJ5+vBWN602OBpLD14cJ7jJIxvLzyYy30EffpCrH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nvIIktkAAAAJAQAADwAAAAAAAAABACAAAAAiAAAAZHJzL2Rvd25yZXYu&#10;eG1sUEsBAhQAFAAAAAgAh07iQNymAIkzAgAAaQQAAA4AAAAAAAAAAQAgAAAAKAEAAGRycy9lMm9E&#10;b2MueG1sUEsFBgAAAAAGAAYAWQEAAM0FAAAAAA=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仿宋_GB2312" w:eastAsia="仿宋_GB2312"/>
                          <w:kern w:val="0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4"/>
                          <w:lang w:eastAsia="zh-CN"/>
                        </w:rPr>
                        <w:t>教务处报教学委员会</w:t>
                      </w:r>
                      <w:r>
                        <w:rPr>
                          <w:rFonts w:hint="eastAsia" w:ascii="仿宋_GB2312" w:hAnsi="Times New Roman" w:eastAsia="仿宋_GB2312"/>
                          <w:kern w:val="0"/>
                          <w:sz w:val="24"/>
                        </w:rPr>
                        <w:t>审定批准</w:t>
                      </w:r>
                      <w:r>
                        <w:rPr>
                          <w:rFonts w:hint="eastAsia" w:ascii="仿宋_GB2312" w:eastAsia="仿宋_GB2312"/>
                          <w:kern w:val="0"/>
                          <w:sz w:val="24"/>
                          <w:lang w:eastAsia="zh-CN"/>
                        </w:rPr>
                        <w:t>新申报课程（</w:t>
                      </w:r>
                      <w:r>
                        <w:rPr>
                          <w:rFonts w:hint="eastAsia" w:ascii="仿宋_GB2312" w:eastAsia="仿宋_GB2312"/>
                          <w:kern w:val="0"/>
                          <w:sz w:val="24"/>
                          <w:lang w:val="en-US" w:eastAsia="zh-CN"/>
                        </w:rPr>
                        <w:t>17周周五前</w:t>
                      </w:r>
                      <w:r>
                        <w:rPr>
                          <w:rFonts w:hint="eastAsia" w:ascii="仿宋_GB2312" w:eastAsia="仿宋_GB2312"/>
                          <w:kern w:val="0"/>
                          <w:sz w:val="24"/>
                          <w:lang w:eastAsia="zh-CN"/>
                        </w:rPr>
                        <w:t>）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1029970</wp:posOffset>
                </wp:positionV>
                <wp:extent cx="5659120" cy="337185"/>
                <wp:effectExtent l="7620" t="7620" r="10160" b="1714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9120" cy="3371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仿宋_GB2312" w:eastAsia="仿宋_GB2312"/>
                                <w:kern w:val="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4"/>
                                <w:szCs w:val="24"/>
                                <w:lang w:eastAsia="zh-CN"/>
                              </w:rPr>
                              <w:t>各学院汇总《</w:t>
                            </w: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4"/>
                                <w:szCs w:val="24"/>
                              </w:rPr>
                              <w:t>通识教育选修课程推荐表</w:t>
                            </w: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4"/>
                                <w:szCs w:val="24"/>
                                <w:lang w:eastAsia="zh-CN"/>
                              </w:rPr>
                              <w:t>》及教学大纲交教务处教学科（</w:t>
                            </w: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16周周一前</w:t>
                            </w: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4"/>
                                <w:szCs w:val="24"/>
                                <w:lang w:eastAsia="zh-CN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6pt;margin-top:81.1pt;height:26.55pt;width:445.6pt;z-index:251658240;mso-width-relative:page;mso-height-relative:page;" fillcolor="#BBD5F0" filled="t" stroked="t" coordsize="21600,21600" o:gfxdata="UEsDBAoAAAAAAIdO4kAAAAAAAAAAAAAAAAAEAAAAZHJzL1BLAwQUAAAACACHTuJA67tT1tkAAAAJ&#10;AQAADwAAAGRycy9kb3ducmV2LnhtbE2PzU7DQAyE70i8w8pIXBDdJG2jErLpAdQDSD2k9AGcrEki&#10;9idkt03h6TEnuNme0fibcnuxRpxpCoN3CtJFAoJc6/XgOgXHt939BkSI6DQa70jBFwXYVtdXJRba&#10;z66m8yF2gkNcKFBBH+NYSBnaniyGhR/JsfbuJ4uR16mTesKZw62RWZLk0uLg+EOPIz311H4cTlbB&#10;56vt6l1NJp/T9d1387LH4/NeqdubNHkEEekS/8zwi8/oUDFT409OB2EULDM28jnPeGB987BagWgU&#10;ZOl6CbIq5f8G1Q9QSwMEFAAAAAgAh07iQBSRKOsyAgAAawQAAA4AAABkcnMvZTJvRG9jLnhtbK1U&#10;zY7TMBC+I/EOlu80TUu2bdR0pf5xQbBiQZyniZNY8p9sb5M+DRI3HoLHWfEajJ3S7cIFIXpwx56Z&#10;z/N9M87ytpeCHJl1XKuCpqMxJUyVuuKqKeinj/tXc0qcB1WB0IoV9MQcvV29fLHsTM4mutWiYpYg&#10;iHJ5Zwraem/yJHFlyyS4kTZMobPWVoLHrW2SykKH6FIkk/H4Jum0rYzVJXMOT7eDk64ifl2z0r+v&#10;a8c8EQXF2nxcbVwPYU1WS8gbC6bl5bkM+IcqJHCFl16gtuCBPFj+B5TkpdVO135UapnouuYlixyQ&#10;TTr+jc19C4ZFLiiOMxeZ3P+DLd8d7yzhFfYO5VEgsUc/vnx7/P6V4AGq0xmXY9C9ubPnnUMzUO1r&#10;K8M/kiB9VPR0UZT1npR4mN1ki3SCyCX6ptNZOs8CaPKUbazzb5iWJBgFtdixKCQc3zo/hP4KOetb&#10;7bkQxGr/mfs2ShSujU6HOYNBjEaVhmNnm8NGWHIEHIL1epvtIzMsonHX0ek4/CLSs5TFZr3bXafE&#10;zPNVgisCYdiz10M61gy554J9QCoDAZyvWHTwCEU6FDubzzJUBXDkawEeTWmwCU41w/1a8EvKs2Jm&#10;08VmMz2L6K7DgkxbcO3AM7pCGOSSexaaB3nLoNqpiviTwT4rfJE0VCNZRYlg+ICDNRAALv4mEqUQ&#10;ChsaxmQYjGD5/tAjTDAPujrhhD0Yy5sWG5zG0oMHJzpOwvn1hSdzvY+gT9+I1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ru1PW2QAAAAkBAAAPAAAAAAAAAAEAIAAAACIAAABkcnMvZG93bnJldi54&#10;bWxQSwECFAAUAAAACACHTuJAFJEo6zICAABrBAAADgAAAAAAAAABACAAAAAoAQAAZHJzL2Uyb0Rv&#10;Yy54bWxQSwUGAAAAAAYABgBZAQAAzAUAAAAA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仿宋_GB2312" w:eastAsia="仿宋_GB2312"/>
                          <w:kern w:val="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4"/>
                          <w:szCs w:val="24"/>
                          <w:lang w:eastAsia="zh-CN"/>
                        </w:rPr>
                        <w:t>各学院汇总《</w:t>
                      </w:r>
                      <w:r>
                        <w:rPr>
                          <w:rFonts w:hint="eastAsia" w:ascii="仿宋_GB2312" w:eastAsia="仿宋_GB2312"/>
                          <w:kern w:val="0"/>
                          <w:sz w:val="24"/>
                          <w:szCs w:val="24"/>
                        </w:rPr>
                        <w:t>通识教育选修课程推荐表</w:t>
                      </w:r>
                      <w:r>
                        <w:rPr>
                          <w:rFonts w:hint="eastAsia" w:ascii="仿宋_GB2312" w:eastAsia="仿宋_GB2312"/>
                          <w:kern w:val="0"/>
                          <w:sz w:val="24"/>
                          <w:szCs w:val="24"/>
                          <w:lang w:eastAsia="zh-CN"/>
                        </w:rPr>
                        <w:t>》及教学大纲交教务处教学科（</w:t>
                      </w:r>
                      <w:r>
                        <w:rPr>
                          <w:rFonts w:hint="eastAsia" w:ascii="仿宋_GB2312" w:eastAsia="仿宋_GB2312"/>
                          <w:kern w:val="0"/>
                          <w:sz w:val="24"/>
                          <w:szCs w:val="24"/>
                          <w:lang w:val="en-US" w:eastAsia="zh-CN"/>
                        </w:rPr>
                        <w:t>16周周一前</w:t>
                      </w:r>
                      <w:r>
                        <w:rPr>
                          <w:rFonts w:hint="eastAsia" w:ascii="仿宋_GB2312" w:eastAsia="仿宋_GB2312"/>
                          <w:kern w:val="0"/>
                          <w:sz w:val="24"/>
                          <w:szCs w:val="24"/>
                          <w:lang w:eastAsia="zh-CN"/>
                        </w:rPr>
                        <w:t>）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附件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bCs/>
          <w:kern w:val="0"/>
          <w:sz w:val="28"/>
          <w:szCs w:val="28"/>
          <w:lang w:eastAsia="zh-CN"/>
        </w:rPr>
        <w:t>通识教育选修课课程安排具体流程</w:t>
      </w:r>
    </w:p>
    <w:p>
      <w:pPr>
        <w:ind w:firstLine="0" w:firstLineChars="0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ind w:firstLine="0" w:firstLineChars="0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ind w:firstLine="0" w:firstLineChars="0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ind w:firstLine="0" w:firstLineChars="0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ind w:firstLine="0" w:firstLineChars="0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ind w:firstLine="0" w:firstLineChars="0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ind w:firstLine="0" w:firstLineChars="0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ind w:firstLine="0" w:firstLineChars="0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ind w:firstLine="0" w:firstLineChars="0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ind w:firstLine="0" w:firstLineChars="0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ind w:firstLine="0" w:firstLineChars="0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ind w:firstLine="0" w:firstLineChars="0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ind w:firstLine="0" w:firstLineChars="0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ind w:firstLine="0" w:firstLineChars="0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ind w:firstLine="0" w:firstLineChars="0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ind w:firstLine="0" w:firstLineChars="0"/>
        <w:rPr>
          <w:rFonts w:hint="eastAsia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127635</wp:posOffset>
                </wp:positionV>
                <wp:extent cx="5669915" cy="666115"/>
                <wp:effectExtent l="7620" t="7620" r="18415" b="1206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915" cy="6661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仿宋_GB2312" w:eastAsia="仿宋_GB2312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4"/>
                                <w:lang w:val="en-US" w:eastAsia="zh-CN"/>
                              </w:rPr>
                              <w:t>学生选课；教务处教学科根据选课情况确定最终开课课程，调整教室；将学院最终开课明细表、教学任务书及学生成绩表送至各学院；各学院核对并发放任务书（下学期第2周周末-第3周）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3pt;margin-top:10.05pt;height:52.45pt;width:446.45pt;z-index:251667456;mso-width-relative:page;mso-height-relative:page;" fillcolor="#BBD5F0" filled="t" stroked="t" coordsize="21600,21600" o:gfxdata="UEsDBAoAAAAAAIdO4kAAAAAAAAAAAAAAAAAEAAAAZHJzL1BLAwQUAAAACACHTuJAWk78QtYAAAAH&#10;AQAADwAAAGRycy9kb3ducmV2LnhtbE2OwU7DMBBE70j8g7VIXBC1E5SohDg9gHoAqYeUfsAmXpKI&#10;2A6x2xS+nuVEj6N5mnnl5mxHcaI5DN5pSFYKBLnWm8F1Gg7v2/s1iBDRGRy9Iw3fFGBTXV+VWBi/&#10;uJpO+9gJHnGhQA19jFMhZWh7shhWfiLH3YefLUaOcyfNjAuP21GmSuXS4uD4oceJnntqP/dHq+Hr&#10;zXb1tqYxX5Ls7qd53eHhZaf17U2inkBEOsd/GP70WR0qdmr80ZkgRg05cxpSlYDgdv34kIFoGEsz&#10;BbIq5aV/9QtQSwMEFAAAAAgAh07iQEGfkagyAgAAawQAAA4AAABkcnMvZTJvRG9jLnhtbK1US27b&#10;MBDdF+gdCO5rWUmtxILlAP51U7RB06DrsURJBPgDyVjyaQp010P0OEGv0SGlOE67KYp6QQ85H857&#10;86jFTS8FOTDruFYFTSdTSpgqdcVVU9D7z7s315Q4D6oCoRUr6JE5erN8/WrRmZxd6FaLilmCRZTL&#10;O1PQ1nuTJ4krWybBTbRhCp21thI8bm2TVBY6rC5FcjGdZkmnbWWsLplzeLoZnHQZ69c1K/3HunbM&#10;E1FQ7M3H1cZ1H9ZkuYC8sWBaXo5twD90IYErvPRUagMeyIPlf5SSvLTa6dpPSi0TXde8ZBEDokmn&#10;v6G5a8GwiAXJceZEk/t/ZcsPh1tLeIWzSylRIHFGP79+f/zxjeABstMZl2PQnbm1486hGaD2tZXh&#10;H0GQPjJ6PDHKek9KPJxl2Xyezigp0ZdlWYo2lkmes411/h3TkgSjoBYnFomEw3vnh9CnkJHfaseF&#10;IFb7L9y3kaJwbXQ6zBkMYjSyNBw72+zXwpIDoAhWq81sF+eOTTTuPDqdhl+s9CJlvl5tt+cpMXO8&#10;SnBFIIh99nZIx54h91ywTwhlAID6ik0Hj1CkQ7Jn11eBFUDJ1wI8mtLgEJxqhvu14KeUF81cXc7X&#10;68uRRHceFmjagGsHnNEVwiCX3LMwPMhbBtVWVcQfDc5Z4YukoRvJKkoEwwccrAEAcPE3kUiFUDjQ&#10;IJNBGMHy/b7HMsHc6+qICnswljctDjiKKoajoqMSxtcXnsz5PhZ9/kYs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aTvxC1gAAAAcBAAAPAAAAAAAAAAEAIAAAACIAAABkcnMvZG93bnJldi54bWxQ&#10;SwECFAAUAAAACACHTuJAQZ+RqDICAABrBAAADgAAAAAAAAABACAAAAAlAQAAZHJzL2Uyb0RvYy54&#10;bWxQSwUGAAAAAAYABgBZAQAAyQUAAAAA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仿宋_GB2312" w:eastAsia="仿宋_GB2312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4"/>
                          <w:lang w:val="en-US" w:eastAsia="zh-CN"/>
                        </w:rPr>
                        <w:t>学生选课；教务处教学科根据选课情况确定最终开课课程，调整教室；将学院最终开课明细表、教学任务书及学生成绩表送至各学院；各学院核对并发放任务书（下学期第2周周末-第3周）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0" w:firstLineChars="0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ind w:firstLine="0" w:firstLineChars="0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952"/>
        </w:tabs>
        <w:ind w:firstLine="0" w:firstLineChars="0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203835</wp:posOffset>
                </wp:positionV>
                <wp:extent cx="75565" cy="245745"/>
                <wp:effectExtent l="13970" t="7620" r="24765" b="32385"/>
                <wp:wrapNone/>
                <wp:docPr id="12" name="下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45745"/>
                        </a:xfrm>
                        <a:prstGeom prst="downArrow">
                          <a:avLst>
                            <a:gd name="adj1" fmla="val 50000"/>
                            <a:gd name="adj2" fmla="val 81302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8pt;margin-top:16.05pt;height:19.35pt;width:5.95pt;z-index:251669504;mso-width-relative:page;mso-height-relative:page;" fillcolor="#BBD5F0" filled="t" stroked="t" coordsize="21600,21600" o:gfxdata="UEsDBAoAAAAAAIdO4kAAAAAAAAAAAAAAAAAEAAAAZHJzL1BLAwQUAAAACACHTuJAjR4DGdoAAAAJ&#10;AQAADwAAAGRycy9kb3ducmV2LnhtbE2PwU7DMBBE70j8g7VIXBC104a0hDiV2io9VqIgwdGNlzgi&#10;Xkexm6Z/jznBcTSjmTfFerIdG3HwrSMJyUwAQ6qdbqmR8P5WPa6A+aBIq84RSriih3V5e1OoXLsL&#10;veJ4DA2LJeRzJcGE0Oec+9qgVX7meqTofbnBqhDl0HA9qEsstx2fC5Fxq1qKC0b1uDVYfx/PVkK1&#10;23yEzGyv+89+99Tsq8O0GR+kvL9LxAuwgFP4C8MvfkSHMjKd3Jm0Z52EdJHFL0HCYp4Ai4E0XT4D&#10;O0lYihXwsuD/H5Q/UEsDBBQAAAAIAIdO4kAr3ijzXwIAAMUEAAAOAAAAZHJzL2Uyb0RvYy54bWyt&#10;VEuS0zAQ3VPFHVTaE9tJPMmk4kyRz7ChYIrhs1Ys2RalX0maODkD12ALKxYcCIpr0JI9SQZYUBRe&#10;yPp0t9573a351V4KtGPWca0KnA1SjJgqNeWqLvCb19dPphg5TxQlQitW4ANz+Grx+NG8NTM21I0W&#10;lFkEQZSbtabAjfdmliSubJgkbqANU3BYaSuJh6WtE2pJC9GlSIZpepG02lJjdcmcg911d4gXMX5V&#10;sdK/rCrHPBIFBmw+jjaO2zAmizmZ1ZaYhpc9DPIPKCThCi49hloTT9Cd5b+Fkry02unKD0otE11V&#10;vGSRA7DJ0l/Y3DbEsMgFxHHmKJP7f2HLF7sbiziF3A0xUkRCjr59/fDj86fvH78g2AOBWuNmYHdr&#10;bmy/cjANbPeVleEPPNA+ino4isr2HpWwOcnzixyjEk6G43wyzkPI5ORrrPPPmJYoTApMdaueWqvb&#10;KCfZPXc+6kp7cIS+zzCqpIA07YhAeQpfn8YzGyBzsplmozQygWv7iDC7v7hPG73mQiCr/Tvum6h8&#10;oBIP3T0Ih4wG8bttZ+vtSlgEKAq8XK7z64gDIteuc+uss4DwDy6Xq+Vmc+4SPfurBFeIhB7Kx517&#10;LFTPBXsFNd0pCGUbQYfLhEIt5DCfToLWBDqpEsTDVBrIrVN1ZOK04EeXB/gno8vVatSn5oFZkGlN&#10;XNPxjEed3JJ7ZiOshhG6URT5g4HyUdDoOKCRjGIkGLwLYdYRIFz8jSVIIRSUSSi9rtjCbKvpAaoV&#10;nhsoFEbewh+jO2N53cBGFtEHO+iVWGJ9X4dmPF/HuKfXZ/E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jR4DGdoAAAAJAQAADwAAAAAAAAABACAAAAAiAAAAZHJzL2Rvd25yZXYueG1sUEsBAhQAFAAA&#10;AAgAh07iQCveKPNfAgAAxQQAAA4AAAAAAAAAAQAgAAAAKQEAAGRycy9lMm9Eb2MueG1sUEsFBgAA&#10;AAAGAAYAWQEAAPoFAAAAAA==&#10;" adj="16201,5400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1952"/>
        </w:tabs>
        <w:ind w:firstLine="0" w:firstLineChars="0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67310</wp:posOffset>
                </wp:positionV>
                <wp:extent cx="5664835" cy="319405"/>
                <wp:effectExtent l="7620" t="7620" r="23495" b="1587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835" cy="3194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仿宋_GB2312" w:eastAsia="仿宋_GB2312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4"/>
                                <w:lang w:val="en-US" w:eastAsia="zh-CN"/>
                              </w:rPr>
                              <w:t>任课教师进行通识教育选修课教学（第4周开始）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25pt;margin-top:5.3pt;height:25.15pt;width:446.05pt;z-index:251670528;mso-width-relative:page;mso-height-relative:page;" fillcolor="#BBD5F0" filled="t" stroked="t" coordsize="21600,21600" o:gfxdata="UEsDBAoAAAAAAIdO4kAAAAAAAAAAAAAAAAAEAAAAZHJzL1BLAwQUAAAACACHTuJAO5iCONUAAAAG&#10;AQAADwAAAGRycy9kb3ducmV2LnhtbE2OwU7DMBBE70j8g7VIXBC1U6lRG+L0AOoBpB7S9gOceEki&#10;7HWI3abw9SwnuM3OjGZfub16Jy44xSGQhmyhQCC1wQ7UaTgdd49rEDEZssYFQg1fGGFb3d6UprBh&#10;phovh9QJHqFYGA19SmMhZWx79CYuwojE2XuYvEl8Tp20k5l53Du5VCqX3gzEH3oz4nOP7cfh7DV8&#10;vvmu3tXo8jlbPXw3r3tzetlrfX+XqScQCa/prwy/+IwOFTM14Uw2CqdhxT12VQ6C0/VmyaLRkKsN&#10;yKqU//GrH1BLAwQUAAAACACHTuJA4UrpFTMCAABrBAAADgAAAGRycy9lMm9Eb2MueG1srVTLjtMw&#10;FN0j8Q+W9zTptOm0UdOR+mKDYMSAWN8mTmLJL9meJv0aJHZ8BJ+D+A2undLpwAYhunCvfR++95zj&#10;LO96KciRWce1Kuh4lFLCVKkrrpqCfvywfzWnxHlQFQitWEFPzNG71csXy87k7Ea3WlTMEiyiXN6Z&#10;grbemzxJXNkyCW6kDVPorLWV4HFrm6Sy0GF1KZKbNJ0lnbaVsbpkzuHpdnDSVaxf16z07+raMU9E&#10;QbE3H1cb10NYk9US8saCaXl5bgP+oQsJXOGll1Jb8EAeLf+jlOSl1U7XflRqmei65iWLM+A04/S3&#10;aR5aMCzOguA4c4HJ/b+y5dvjvSW8Qu4mlCiQyNGPz1+/f/tC8ADR6YzLMejB3NvzzqEZRu1rK8M/&#10;DkH6iOjpgijrPSnxMJvNpvNJRkmJvsl4MU2zUDR5yjbW+ddMSxKMglpkLAIJxzfOD6G/Qs74Vnsu&#10;BLHaf+K+jRCFa6PTYc5gEKMRpeHY2eawEZYcAUWwXm+zfeQdm2jcdfQ4Db9Y6VnKYrPe7a5TYub5&#10;KsEVgSD2bDqkY8+Qey7YexxlGAD1FZsOHqFIh2Bn89uACqDkawEeTWmQBKea4X4t+CXlWTO3k8Vm&#10;E5nBLtx1WIBpC64d5oyuQd6SexbIg7xlUO1URfzJIM8KXyQN3UhWUSIYPuBgDQMAF38TiU0IhYQG&#10;mQzCCJbvDz2WCeZBVydU2KOxvGmR4HHkP3hQ0VEJ59cXnsz1PhZ9+kasf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7mII41QAAAAYBAAAPAAAAAAAAAAEAIAAAACIAAABkcnMvZG93bnJldi54bWxQ&#10;SwECFAAUAAAACACHTuJA4UrpFTMCAABrBAAADgAAAAAAAAABACAAAAAkAQAAZHJzL2Uyb0RvYy54&#10;bWxQSwUGAAAAAAYABgBZAQAAyQUAAAAA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仿宋_GB2312" w:eastAsia="仿宋_GB2312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4"/>
                          <w:lang w:val="en-US" w:eastAsia="zh-CN"/>
                        </w:rPr>
                        <w:t>任课教师进行通识教育选修课教学（第4周开始）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eastAsia"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通识教育选修课</w:t>
      </w:r>
      <w:r>
        <w:rPr>
          <w:rFonts w:hint="eastAsia" w:ascii="宋体" w:hAnsi="宋体"/>
          <w:b/>
          <w:bCs/>
          <w:sz w:val="36"/>
          <w:lang w:eastAsia="zh-CN"/>
        </w:rPr>
        <w:t>程</w:t>
      </w:r>
      <w:r>
        <w:rPr>
          <w:rFonts w:hint="eastAsia" w:ascii="宋体" w:hAnsi="宋体"/>
          <w:b/>
          <w:bCs/>
          <w:sz w:val="36"/>
        </w:rPr>
        <w:t>推荐表</w:t>
      </w:r>
    </w:p>
    <w:tbl>
      <w:tblPr>
        <w:tblStyle w:val="4"/>
        <w:tblpPr w:leftFromText="180" w:rightFromText="180" w:vertAnchor="text" w:horzAnchor="page" w:tblpX="1005" w:tblpY="243"/>
        <w:tblOverlap w:val="never"/>
        <w:tblW w:w="9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86"/>
        <w:gridCol w:w="2532"/>
        <w:gridCol w:w="840"/>
        <w:gridCol w:w="735"/>
        <w:gridCol w:w="210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2532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学分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学时</w:t>
            </w: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任课教师</w:t>
            </w:r>
          </w:p>
        </w:tc>
        <w:tc>
          <w:tcPr>
            <w:tcW w:w="2532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420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授课对象</w:t>
            </w:r>
          </w:p>
        </w:tc>
        <w:tc>
          <w:tcPr>
            <w:tcW w:w="420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课程类别</w:t>
            </w:r>
          </w:p>
        </w:tc>
        <w:tc>
          <w:tcPr>
            <w:tcW w:w="8307" w:type="dxa"/>
            <w:gridSpan w:val="5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3" w:hRule="atLeast"/>
        </w:trPr>
        <w:tc>
          <w:tcPr>
            <w:tcW w:w="9873" w:type="dxa"/>
            <w:gridSpan w:val="7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教师简介（教学科研简介）：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3" w:hRule="atLeast"/>
        </w:trPr>
        <w:tc>
          <w:tcPr>
            <w:tcW w:w="9873" w:type="dxa"/>
            <w:gridSpan w:val="7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课程简介：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atLeast"/>
        </w:trPr>
        <w:tc>
          <w:tcPr>
            <w:tcW w:w="9873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三、大纲、教材简介：</w:t>
            </w:r>
          </w:p>
          <w:p>
            <w:pPr>
              <w:numPr>
                <w:ilvl w:val="1"/>
                <w:numId w:val="1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大纲（另附页）；</w:t>
            </w:r>
          </w:p>
          <w:p>
            <w:pPr>
              <w:numPr>
                <w:ilvl w:val="1"/>
                <w:numId w:val="1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教材</w:t>
            </w:r>
          </w:p>
          <w:p>
            <w:pPr>
              <w:ind w:left="4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1.教材名称</w:t>
            </w:r>
          </w:p>
          <w:p>
            <w:pPr>
              <w:ind w:left="4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2.请在相应栏内划“√”：（正式出版教材）；（自编教材）；（讲义）； </w:t>
            </w:r>
          </w:p>
          <w:p>
            <w:pPr>
              <w:ind w:left="4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3.出版单位名称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493" w:type="dxa"/>
            <w:gridSpan w:val="6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盖章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8" w:hRule="atLeast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教务处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8493" w:type="dxa"/>
            <w:gridSpan w:val="6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盖章       年    月    日  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43" w:right="1519" w:bottom="1043" w:left="1519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A4E2A"/>
    <w:multiLevelType w:val="multilevel"/>
    <w:tmpl w:val="245A4E2A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eastAsia"/>
      </w:rPr>
    </w:lvl>
    <w:lvl w:ilvl="1" w:tentative="0">
      <w:start w:val="1"/>
      <w:numFmt w:val="japaneseCounting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82CB0"/>
    <w:rsid w:val="10995B84"/>
    <w:rsid w:val="110972ED"/>
    <w:rsid w:val="196C26C0"/>
    <w:rsid w:val="19CA61C8"/>
    <w:rsid w:val="1BCE0496"/>
    <w:rsid w:val="2664572B"/>
    <w:rsid w:val="31273D46"/>
    <w:rsid w:val="33864DD1"/>
    <w:rsid w:val="3E072FEC"/>
    <w:rsid w:val="49250F75"/>
    <w:rsid w:val="4C9F7B11"/>
    <w:rsid w:val="50382CB0"/>
    <w:rsid w:val="50A451B5"/>
    <w:rsid w:val="527F7A1C"/>
    <w:rsid w:val="53875C39"/>
    <w:rsid w:val="57822877"/>
    <w:rsid w:val="5AAB7B22"/>
    <w:rsid w:val="6D535020"/>
    <w:rsid w:val="6FF45AE9"/>
    <w:rsid w:val="7C6B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2018-05-29T01:23:00Z</dcterms:created>
  <dc:creator>Anges</dc:creator>
  <cp:lastModifiedBy>Anges</cp:lastModifiedBy>
  <cp:lastPrinted>2018-12-06T00:56:00Z</cp:lastPrinted>
  <dcterms:modified xsi:type="dcterms:W3CDTF">2019-06-12T00:49:25Z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